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4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吉利学院第二届“辅导员说育人”</w:t>
      </w:r>
    </w:p>
    <w:p>
      <w:pPr>
        <w:widowControl/>
        <w:spacing w:line="54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比赛规则及评分细则</w:t>
      </w:r>
    </w:p>
    <w:bookmarkEnd w:id="0"/>
    <w:p>
      <w:pPr>
        <w:spacing w:line="540" w:lineRule="exact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（一）校级比赛规则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1.选手根据抽签决定出场顺序。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2.现场由专家评委打分，评分细则详见“校级比赛评分细则”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3.参加校级比赛的选手根据组委会通知，按指定时间到指定地点参加决赛，否则视为弃权。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4.校级比赛将在学生工作部官方微信公众号“吉利学工”开设网络投票通道，鼓励师生为选手投票，网络投票占决赛分值的30%，现场评委评分占决赛分值的70%。网络投票分值和现场评委评分相加分为选手总得分。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5.投票方式:关注学生工作部官方微信公众号“吉利学工”为喜爱的选手投票。投票截止日期:以主办方通知时间为准。</w:t>
      </w:r>
    </w:p>
    <w:p>
      <w:pPr>
        <w:spacing w:line="540" w:lineRule="exact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（二）校级比赛评分细则（总计100分）</w:t>
      </w:r>
    </w:p>
    <w:tbl>
      <w:tblPr>
        <w:tblStyle w:val="2"/>
        <w:tblW w:w="9518" w:type="dxa"/>
        <w:tblInd w:w="-5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7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41" w:type="dxa"/>
            <w:noWrap w:val="0"/>
            <w:vAlign w:val="top"/>
          </w:tcPr>
          <w:p>
            <w:pPr>
              <w:pStyle w:val="4"/>
              <w:autoSpaceDE w:val="0"/>
              <w:autoSpaceDN w:val="0"/>
              <w:spacing w:before="129"/>
              <w:ind w:left="16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2"/>
              </w:rPr>
              <w:t>评分项目</w:t>
            </w:r>
          </w:p>
        </w:tc>
        <w:tc>
          <w:tcPr>
            <w:tcW w:w="7977" w:type="dxa"/>
            <w:noWrap w:val="0"/>
            <w:vAlign w:val="top"/>
          </w:tcPr>
          <w:p>
            <w:pPr>
              <w:pStyle w:val="4"/>
              <w:autoSpaceDE w:val="0"/>
              <w:autoSpaceDN w:val="0"/>
              <w:spacing w:before="129"/>
              <w:ind w:left="16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2"/>
              </w:rPr>
              <w:t>评分要点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54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主题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内容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 xml:space="preserve"> 分）</w:t>
            </w: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1.思想内容能紧紧围绕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主题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，观点鲜明，见解独到，内容充实具体，生动感人。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2.材料真实、典型、新颖，事迹感人、实例生动，反映客观事实，具有普遍意义。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3.讲稿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文本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结构严谨，构思巧妙，引人入胜。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有切合实际的工作设想，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能抓住问题或事件的关键，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并富有开拓意识、办法与措施可行。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5.分析问题具有一定的广度和深度、见解令人信服，解决问题的思路清晰、措施得当，问题落地解决成效显著。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4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语言表达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0 分）</w:t>
            </w: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1.语言规范，吐字清晰，声音洪亮圆润。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2.表达流畅，内容条理性、逻辑性强，清晰准确，表达富有感染力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5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3.语言技巧处理得当，语速恰当，语气、语调、音量、节奏张弛符合思想感情的起伏变化，能熟练表达所演讲的内容。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541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综合印象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（10 分）</w:t>
            </w: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1.精神饱满，能较好地运用姿态、动作、手势、表情等表达对内容的理解。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54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2.言行举止自然、富有感染力，着装端庄大方，举止自然得体，有风度。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541" w:type="dxa"/>
            <w:vMerge w:val="restart"/>
            <w:tcBorders>
              <w:top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会场效果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（10 分）</w:t>
            </w: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宣讲具有较强的感染力、吸引力和号召力，能较好地与听众感情融合在一起，营造良好的演讲效果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77" w:type="dxa"/>
            <w:noWrap w:val="0"/>
            <w:vAlign w:val="top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2.现场互动气氛良好，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时间控制在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  <w:t>8-10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  <w:t>分钟之内。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ThkZDVjMTFlYjg0ZWY2M2RhNDhmZmM5NDk1OGYifQ=="/>
  </w:docVars>
  <w:rsids>
    <w:rsidRoot w:val="48111CED"/>
    <w:rsid w:val="481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2023-04-21T00:55:00Z</dcterms:created>
  <dc:creator>熙太后</dc:creator>
  <cp:lastModifiedBy>熙太后</cp:lastModifiedBy>
  <dcterms:modified xsi:type="dcterms:W3CDTF">2023-04-21T00:55:40Z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7D68FF0DA9434A95A6559895A08DAD9C_11</vt:lpwstr>
  </property>
</Properties>
</file>